
<file path=[Content_Types].xml><?xml version="1.0" encoding="utf-8"?>
<Types xmlns="http://schemas.openxmlformats.org/package/2006/content-types">
  <Default ContentType="image/jpeg" Extension="jpg"/>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b w:val="1"/>
          <w:sz w:val="36"/>
          <w:szCs w:val="36"/>
          <w:u w:val="single"/>
        </w:rPr>
      </w:pPr>
      <w:r w:rsidDel="00000000" w:rsidR="00000000" w:rsidRPr="00000000">
        <w:rPr>
          <w:sz w:val="36"/>
          <w:szCs w:val="36"/>
          <w:rtl w:val="0"/>
        </w:rPr>
        <w:t xml:space="preserve">                           </w:t>
      </w:r>
      <w:r w:rsidDel="00000000" w:rsidR="00000000" w:rsidRPr="00000000">
        <w:rPr>
          <w:b w:val="1"/>
          <w:sz w:val="36"/>
          <w:szCs w:val="36"/>
          <w:u w:val="single"/>
          <w:rtl w:val="0"/>
        </w:rPr>
        <w:t xml:space="preserve">STEAM Grants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Calibri" w:cs="Calibri" w:eastAsia="Calibri" w:hAnsi="Calibri"/>
          <w:b w:val="1"/>
          <w:color w:val="1155cc"/>
          <w:sz w:val="21"/>
          <w:szCs w:val="21"/>
          <w:u w:val="single"/>
        </w:rPr>
      </w:pPr>
      <w:r w:rsidDel="00000000" w:rsidR="00000000" w:rsidRPr="00000000">
        <w:rPr>
          <w:rFonts w:ascii="Calibri" w:cs="Calibri" w:eastAsia="Calibri" w:hAnsi="Calibri"/>
          <w:b w:val="1"/>
          <w:sz w:val="21"/>
          <w:szCs w:val="21"/>
          <w:u w:val="single"/>
          <w:rtl w:val="0"/>
        </w:rPr>
        <w:t xml:space="preserve">Toshiba America Foundation Grants for Grades K-5 — </w:t>
      </w:r>
      <w:r w:rsidDel="00000000" w:rsidR="00000000" w:rsidRPr="00000000">
        <w:fldChar w:fldCharType="begin"/>
        <w:instrText xml:space="preserve"> HYPERLINK "http://www.toshiba.com/taf/k5.jsp" </w:instrText>
        <w:fldChar w:fldCharType="separate"/>
      </w:r>
      <w:r w:rsidDel="00000000" w:rsidR="00000000" w:rsidRPr="00000000">
        <w:rPr>
          <w:rFonts w:ascii="Calibri" w:cs="Calibri" w:eastAsia="Calibri" w:hAnsi="Calibri"/>
          <w:b w:val="1"/>
          <w:color w:val="1155cc"/>
          <w:sz w:val="21"/>
          <w:szCs w:val="21"/>
          <w:u w:val="single"/>
          <w:rtl w:val="0"/>
        </w:rPr>
        <w:t xml:space="preserve">http://www.toshiba.com/taf/k5.jsp</w:t>
      </w:r>
    </w:p>
    <w:p w:rsidR="00000000" w:rsidDel="00000000" w:rsidP="00000000" w:rsidRDefault="00000000" w:rsidRPr="00000000" w14:paraId="00000003">
      <w:pPr>
        <w:numPr>
          <w:ilvl w:val="1"/>
          <w:numId w:val="2"/>
        </w:numPr>
        <w:pBdr>
          <w:top w:space="0" w:sz="0" w:val="nil"/>
          <w:left w:space="0" w:sz="0" w:val="nil"/>
          <w:bottom w:space="0" w:sz="0" w:val="nil"/>
          <w:right w:space="0" w:sz="0" w:val="nil"/>
          <w:between w:space="0" w:sz="0" w:val="nil"/>
        </w:pBdr>
        <w:shd w:fill="auto" w:val="clear"/>
        <w:spacing w:after="0" w:afterAutospacing="0" w:before="80" w:lineRule="auto"/>
        <w:ind w:left="2340" w:right="680" w:hanging="360"/>
        <w:rPr>
          <w:b w:val="1"/>
        </w:rPr>
      </w:pPr>
      <w:r w:rsidDel="00000000" w:rsidR="00000000" w:rsidRPr="00000000">
        <w:fldChar w:fldCharType="end"/>
      </w:r>
      <w:r w:rsidDel="00000000" w:rsidR="00000000" w:rsidRPr="00000000">
        <w:rPr>
          <w:rFonts w:ascii="Calibri" w:cs="Calibri" w:eastAsia="Calibri" w:hAnsi="Calibri"/>
          <w:b w:val="1"/>
          <w:sz w:val="21"/>
          <w:szCs w:val="21"/>
          <w:u w:val="single"/>
          <w:rtl w:val="0"/>
        </w:rPr>
        <w:t xml:space="preserve">Awards are $1,000</w:t>
      </w:r>
    </w:p>
    <w:p w:rsidR="00000000" w:rsidDel="00000000" w:rsidP="00000000" w:rsidRDefault="00000000" w:rsidRPr="00000000" w14:paraId="00000004">
      <w:pPr>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Rule="auto"/>
        <w:ind w:left="2340" w:right="680" w:hanging="360"/>
        <w:rPr>
          <w:b w:val="1"/>
        </w:rPr>
      </w:pPr>
      <w:r w:rsidDel="00000000" w:rsidR="00000000" w:rsidRPr="00000000">
        <w:rPr>
          <w:rFonts w:ascii="Calibri" w:cs="Calibri" w:eastAsia="Calibri" w:hAnsi="Calibri"/>
          <w:b w:val="1"/>
          <w:sz w:val="21"/>
          <w:szCs w:val="21"/>
          <w:u w:val="single"/>
          <w:rtl w:val="0"/>
        </w:rPr>
        <w:t xml:space="preserve">Supports grades K-5 teachers wanting to bring an innovative hands-on project into their classrooms.</w:t>
      </w:r>
    </w:p>
    <w:p w:rsidR="00000000" w:rsidDel="00000000" w:rsidP="00000000" w:rsidRDefault="00000000" w:rsidRPr="00000000" w14:paraId="00000005">
      <w:pPr>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Rule="auto"/>
        <w:ind w:left="2340" w:right="680" w:hanging="360"/>
        <w:rPr>
          <w:b w:val="1"/>
        </w:rPr>
      </w:pPr>
      <w:r w:rsidDel="00000000" w:rsidR="00000000" w:rsidRPr="00000000">
        <w:rPr>
          <w:rFonts w:ascii="Calibri" w:cs="Calibri" w:eastAsia="Calibri" w:hAnsi="Calibri"/>
          <w:b w:val="1"/>
          <w:sz w:val="21"/>
          <w:szCs w:val="21"/>
          <w:u w:val="single"/>
          <w:rtl w:val="0"/>
        </w:rPr>
        <w:t xml:space="preserve">Deadline is Oct. 1, annually</w:t>
      </w:r>
    </w:p>
    <w:p w:rsidR="00000000" w:rsidDel="00000000" w:rsidP="00000000" w:rsidRDefault="00000000" w:rsidRPr="00000000" w14:paraId="00000006">
      <w:pPr>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Rule="auto"/>
        <w:ind w:left="1400" w:right="680" w:hanging="360"/>
        <w:rPr>
          <w:b w:val="1"/>
        </w:rPr>
      </w:pPr>
      <w:r w:rsidDel="00000000" w:rsidR="00000000" w:rsidRPr="00000000">
        <w:rPr>
          <w:rFonts w:ascii="Calibri" w:cs="Calibri" w:eastAsia="Calibri" w:hAnsi="Calibri"/>
          <w:b w:val="1"/>
          <w:sz w:val="21"/>
          <w:szCs w:val="21"/>
          <w:u w:val="single"/>
          <w:rtl w:val="0"/>
        </w:rPr>
        <w:t xml:space="preserve">Verizon Foundation — </w:t>
      </w:r>
      <w:r w:rsidDel="00000000" w:rsidR="00000000" w:rsidRPr="00000000">
        <w:rPr>
          <w:rtl w:val="0"/>
        </w:rPr>
      </w:r>
    </w:p>
    <w:p w:rsidR="00000000" w:rsidDel="00000000" w:rsidP="00000000" w:rsidRDefault="00000000" w:rsidRPr="00000000" w14:paraId="00000007">
      <w:pPr>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Rule="auto"/>
        <w:ind w:left="2340" w:right="680" w:hanging="360"/>
        <w:rPr>
          <w:b w:val="1"/>
        </w:rPr>
      </w:pPr>
      <w:r w:rsidDel="00000000" w:rsidR="00000000" w:rsidRPr="00000000">
        <w:rPr>
          <w:rFonts w:ascii="Calibri" w:cs="Calibri" w:eastAsia="Calibri" w:hAnsi="Calibri"/>
          <w:b w:val="1"/>
          <w:sz w:val="21"/>
          <w:szCs w:val="21"/>
          <w:u w:val="single"/>
          <w:rtl w:val="0"/>
        </w:rPr>
        <w:t xml:space="preserve">Awards are $5,000-$10,000</w:t>
      </w:r>
    </w:p>
    <w:p w:rsidR="00000000" w:rsidDel="00000000" w:rsidP="00000000" w:rsidRDefault="00000000" w:rsidRPr="00000000" w14:paraId="00000008">
      <w:pPr>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Rule="auto"/>
        <w:ind w:left="2340" w:right="680" w:hanging="360"/>
        <w:rPr>
          <w:b w:val="1"/>
        </w:rPr>
      </w:pPr>
      <w:r w:rsidDel="00000000" w:rsidR="00000000" w:rsidRPr="00000000">
        <w:rPr>
          <w:rFonts w:ascii="Calibri" w:cs="Calibri" w:eastAsia="Calibri" w:hAnsi="Calibri"/>
          <w:b w:val="1"/>
          <w:sz w:val="21"/>
          <w:szCs w:val="21"/>
          <w:u w:val="single"/>
          <w:rtl w:val="0"/>
        </w:rPr>
        <w:t xml:space="preserve">Supports projects that promote STEM learning</w:t>
      </w:r>
    </w:p>
    <w:p w:rsidR="00000000" w:rsidDel="00000000" w:rsidP="00000000" w:rsidRDefault="00000000" w:rsidRPr="00000000" w14:paraId="00000009">
      <w:pPr>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Rule="auto"/>
        <w:ind w:left="2340" w:right="680" w:hanging="360"/>
        <w:rPr>
          <w:b w:val="1"/>
        </w:rPr>
      </w:pPr>
      <w:r w:rsidDel="00000000" w:rsidR="00000000" w:rsidRPr="00000000">
        <w:rPr>
          <w:rFonts w:ascii="Calibri" w:cs="Calibri" w:eastAsia="Calibri" w:hAnsi="Calibri"/>
          <w:b w:val="1"/>
          <w:sz w:val="21"/>
          <w:szCs w:val="21"/>
          <w:u w:val="single"/>
          <w:rtl w:val="0"/>
        </w:rPr>
        <w:t xml:space="preserve">Invitation only — contact a representative with project ideas; </w:t>
      </w:r>
      <w:hyperlink r:id="rId6">
        <w:r w:rsidDel="00000000" w:rsidR="00000000" w:rsidRPr="00000000">
          <w:rPr>
            <w:rFonts w:ascii="Calibri" w:cs="Calibri" w:eastAsia="Calibri" w:hAnsi="Calibri"/>
            <w:b w:val="1"/>
            <w:color w:val="1155cc"/>
            <w:sz w:val="21"/>
            <w:szCs w:val="21"/>
            <w:highlight w:val="white"/>
            <w:u w:val="single"/>
            <w:rtl w:val="0"/>
          </w:rPr>
          <w:t xml:space="preserve">http://www.verizon.com/about/responsibility/verizon-foundation</w:t>
        </w:r>
      </w:hyperlink>
      <w:r w:rsidDel="00000000" w:rsidR="00000000" w:rsidRPr="00000000">
        <w:rPr>
          <w:rFonts w:ascii="Calibri" w:cs="Calibri" w:eastAsia="Calibri" w:hAnsi="Calibri"/>
          <w:b w:val="1"/>
          <w:sz w:val="21"/>
          <w:szCs w:val="21"/>
          <w:highlight w:val="white"/>
          <w:u w:val="single"/>
          <w:rtl w:val="0"/>
        </w:rPr>
        <w:t xml:space="preserve"> to find local rep</w:t>
      </w:r>
    </w:p>
    <w:p w:rsidR="00000000" w:rsidDel="00000000" w:rsidP="00000000" w:rsidRDefault="00000000" w:rsidRPr="00000000" w14:paraId="0000000A">
      <w:pPr>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Rule="auto"/>
        <w:ind w:left="2340" w:right="680" w:hanging="360"/>
        <w:rPr>
          <w:b w:val="1"/>
        </w:rPr>
      </w:pPr>
      <w:r w:rsidDel="00000000" w:rsidR="00000000" w:rsidRPr="00000000">
        <w:rPr>
          <w:rFonts w:ascii="Calibri" w:cs="Calibri" w:eastAsia="Calibri" w:hAnsi="Calibri"/>
          <w:b w:val="1"/>
          <w:sz w:val="21"/>
          <w:szCs w:val="21"/>
          <w:u w:val="single"/>
          <w:rtl w:val="0"/>
        </w:rPr>
        <w:t xml:space="preserve">Rolling deadline, January-October</w:t>
      </w:r>
    </w:p>
    <w:p w:rsidR="00000000" w:rsidDel="00000000" w:rsidP="00000000" w:rsidRDefault="00000000" w:rsidRPr="00000000" w14:paraId="0000000B">
      <w:pPr>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Rule="auto"/>
        <w:ind w:left="1400" w:right="680" w:hanging="360"/>
        <w:rPr>
          <w:b w:val="1"/>
        </w:rPr>
      </w:pPr>
      <w:r w:rsidDel="00000000" w:rsidR="00000000" w:rsidRPr="00000000">
        <w:rPr>
          <w:rFonts w:ascii="Calibri" w:cs="Calibri" w:eastAsia="Calibri" w:hAnsi="Calibri"/>
          <w:b w:val="1"/>
          <w:sz w:val="21"/>
          <w:szCs w:val="21"/>
          <w:u w:val="single"/>
          <w:rtl w:val="0"/>
        </w:rPr>
        <w:t xml:space="preserve">Lowe’s Toolbox for Education — </w:t>
      </w:r>
      <w:r w:rsidDel="00000000" w:rsidR="00000000" w:rsidRPr="00000000">
        <w:fldChar w:fldCharType="begin"/>
        <w:instrText xml:space="preserve"> HYPERLINK "http://responsibility.lowes.com/apply-for-a-grant/" </w:instrText>
        <w:fldChar w:fldCharType="separate"/>
      </w:r>
      <w:r w:rsidDel="00000000" w:rsidR="00000000" w:rsidRPr="00000000">
        <w:rPr>
          <w:rFonts w:ascii="Calibri" w:cs="Calibri" w:eastAsia="Calibri" w:hAnsi="Calibri"/>
          <w:b w:val="1"/>
          <w:color w:val="1155cc"/>
          <w:sz w:val="21"/>
          <w:szCs w:val="21"/>
          <w:u w:val="single"/>
          <w:rtl w:val="0"/>
        </w:rPr>
        <w:t xml:space="preserve">http://responsibility.lowes.com/apply-for-a-grant/</w:t>
      </w:r>
    </w:p>
    <w:p w:rsidR="00000000" w:rsidDel="00000000" w:rsidP="00000000" w:rsidRDefault="00000000" w:rsidRPr="00000000" w14:paraId="0000000C">
      <w:pPr>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Rule="auto"/>
        <w:ind w:left="2340" w:right="680" w:hanging="360"/>
        <w:rPr>
          <w:b w:val="1"/>
        </w:rPr>
      </w:pPr>
      <w:r w:rsidDel="00000000" w:rsidR="00000000" w:rsidRPr="00000000">
        <w:fldChar w:fldCharType="end"/>
      </w:r>
      <w:r w:rsidDel="00000000" w:rsidR="00000000" w:rsidRPr="00000000">
        <w:rPr>
          <w:rFonts w:ascii="Calibri" w:cs="Calibri" w:eastAsia="Calibri" w:hAnsi="Calibri"/>
          <w:b w:val="1"/>
          <w:sz w:val="21"/>
          <w:szCs w:val="21"/>
          <w:u w:val="single"/>
          <w:rtl w:val="0"/>
        </w:rPr>
        <w:t xml:space="preserve">Small toolbox grants are $2,000-$5,000</w:t>
      </w:r>
    </w:p>
    <w:p w:rsidR="00000000" w:rsidDel="00000000" w:rsidP="00000000" w:rsidRDefault="00000000" w:rsidRPr="00000000" w14:paraId="0000000D">
      <w:pPr>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Rule="auto"/>
        <w:ind w:left="2340" w:right="680" w:hanging="360"/>
        <w:rPr>
          <w:b w:val="1"/>
        </w:rPr>
      </w:pPr>
      <w:r w:rsidDel="00000000" w:rsidR="00000000" w:rsidRPr="00000000">
        <w:rPr>
          <w:rFonts w:ascii="Calibri" w:cs="Calibri" w:eastAsia="Calibri" w:hAnsi="Calibri"/>
          <w:b w:val="1"/>
          <w:sz w:val="21"/>
          <w:szCs w:val="21"/>
          <w:u w:val="single"/>
          <w:rtl w:val="0"/>
        </w:rPr>
        <w:t xml:space="preserve">Funds technology upgrades, tools for STEM programs, facility renovations and safety improvements</w:t>
      </w:r>
    </w:p>
    <w:p w:rsidR="00000000" w:rsidDel="00000000" w:rsidP="00000000" w:rsidRDefault="00000000" w:rsidRPr="00000000" w14:paraId="0000000E">
      <w:pPr>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Rule="auto"/>
        <w:ind w:left="2340" w:right="680" w:hanging="360"/>
        <w:rPr>
          <w:b w:val="1"/>
        </w:rPr>
      </w:pPr>
      <w:r w:rsidDel="00000000" w:rsidR="00000000" w:rsidRPr="00000000">
        <w:rPr>
          <w:rFonts w:ascii="Calibri" w:cs="Calibri" w:eastAsia="Calibri" w:hAnsi="Calibri"/>
          <w:b w:val="1"/>
          <w:sz w:val="21"/>
          <w:szCs w:val="21"/>
          <w:u w:val="single"/>
          <w:rtl w:val="0"/>
        </w:rPr>
        <w:t xml:space="preserve">Next application cycle is Aug. 1-Sept. 26, 2016</w:t>
      </w:r>
    </w:p>
    <w:p w:rsidR="00000000" w:rsidDel="00000000" w:rsidP="00000000" w:rsidRDefault="00000000" w:rsidRPr="00000000" w14:paraId="0000000F">
      <w:pPr>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Rule="auto"/>
        <w:ind w:left="1400" w:right="680" w:hanging="360"/>
        <w:rPr>
          <w:b w:val="1"/>
        </w:rPr>
      </w:pPr>
      <w:r w:rsidDel="00000000" w:rsidR="00000000" w:rsidRPr="00000000">
        <w:rPr>
          <w:rFonts w:ascii="Calibri" w:cs="Calibri" w:eastAsia="Calibri" w:hAnsi="Calibri"/>
          <w:b w:val="1"/>
          <w:sz w:val="21"/>
          <w:szCs w:val="21"/>
          <w:u w:val="single"/>
          <w:rtl w:val="0"/>
        </w:rPr>
        <w:t xml:space="preserve">Stewart’s Holiday Match — </w:t>
      </w:r>
      <w:hyperlink r:id="rId7">
        <w:r w:rsidDel="00000000" w:rsidR="00000000" w:rsidRPr="00000000">
          <w:rPr>
            <w:rFonts w:ascii="Calibri" w:cs="Calibri" w:eastAsia="Calibri" w:hAnsi="Calibri"/>
            <w:b w:val="1"/>
            <w:color w:val="1155cc"/>
            <w:sz w:val="21"/>
            <w:szCs w:val="21"/>
            <w:u w:val="single"/>
            <w:rtl w:val="0"/>
          </w:rPr>
          <w:t xml:space="preserve">http://www.stewartsshops.com/contributions/</w:t>
        </w:r>
      </w:hyperlink>
      <w:r w:rsidDel="00000000" w:rsidR="00000000" w:rsidRPr="00000000">
        <w:rPr>
          <w:rFonts w:ascii="Calibri" w:cs="Calibri" w:eastAsia="Calibri" w:hAnsi="Calibri"/>
          <w:b w:val="1"/>
          <w:sz w:val="21"/>
          <w:szCs w:val="21"/>
          <w:u w:val="single"/>
          <w:rtl w:val="0"/>
        </w:rPr>
        <w:t xml:space="preserve"> (website wasn’t working when I checked this morning)</w:t>
      </w:r>
    </w:p>
    <w:p w:rsidR="00000000" w:rsidDel="00000000" w:rsidP="00000000" w:rsidRDefault="00000000" w:rsidRPr="00000000" w14:paraId="00000010">
      <w:pPr>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Rule="auto"/>
        <w:ind w:left="2340" w:right="680" w:hanging="360"/>
        <w:rPr>
          <w:b w:val="1"/>
        </w:rPr>
      </w:pPr>
      <w:r w:rsidDel="00000000" w:rsidR="00000000" w:rsidRPr="00000000">
        <w:rPr>
          <w:rFonts w:ascii="Calibri" w:cs="Calibri" w:eastAsia="Calibri" w:hAnsi="Calibri"/>
          <w:b w:val="1"/>
          <w:sz w:val="21"/>
          <w:szCs w:val="21"/>
          <w:u w:val="single"/>
          <w:rtl w:val="0"/>
        </w:rPr>
        <w:t xml:space="preserve">Awards are $250-$1,000</w:t>
      </w:r>
    </w:p>
    <w:p w:rsidR="00000000" w:rsidDel="00000000" w:rsidP="00000000" w:rsidRDefault="00000000" w:rsidRPr="00000000" w14:paraId="00000011">
      <w:pPr>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Rule="auto"/>
        <w:ind w:left="2340" w:right="680" w:hanging="360"/>
        <w:rPr>
          <w:b w:val="1"/>
        </w:rPr>
      </w:pPr>
      <w:r w:rsidDel="00000000" w:rsidR="00000000" w:rsidRPr="00000000">
        <w:rPr>
          <w:rFonts w:ascii="Calibri" w:cs="Calibri" w:eastAsia="Calibri" w:hAnsi="Calibri"/>
          <w:b w:val="1"/>
          <w:sz w:val="21"/>
          <w:szCs w:val="21"/>
          <w:u w:val="single"/>
          <w:rtl w:val="0"/>
        </w:rPr>
        <w:t xml:space="preserve">Gives to schools and other organizations in several categories, including education and arts</w:t>
      </w:r>
    </w:p>
    <w:p w:rsidR="00000000" w:rsidDel="00000000" w:rsidP="00000000" w:rsidRDefault="00000000" w:rsidRPr="00000000" w14:paraId="00000012">
      <w:pPr>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Rule="auto"/>
        <w:ind w:left="2340" w:right="680" w:hanging="360"/>
        <w:rPr>
          <w:b w:val="1"/>
        </w:rPr>
      </w:pPr>
      <w:r w:rsidDel="00000000" w:rsidR="00000000" w:rsidRPr="00000000">
        <w:rPr>
          <w:rFonts w:ascii="Calibri" w:cs="Calibri" w:eastAsia="Calibri" w:hAnsi="Calibri"/>
          <w:b w:val="1"/>
          <w:sz w:val="21"/>
          <w:szCs w:val="21"/>
          <w:u w:val="single"/>
          <w:rtl w:val="0"/>
        </w:rPr>
        <w:t xml:space="preserve">Deadline is Jan. 31, annually</w:t>
      </w:r>
    </w:p>
    <w:p w:rsidR="00000000" w:rsidDel="00000000" w:rsidP="00000000" w:rsidRDefault="00000000" w:rsidRPr="00000000" w14:paraId="00000013">
      <w:pPr>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Rule="auto"/>
        <w:ind w:left="1400" w:right="680" w:hanging="360"/>
        <w:rPr>
          <w:b w:val="1"/>
        </w:rPr>
      </w:pPr>
      <w:r w:rsidDel="00000000" w:rsidR="00000000" w:rsidRPr="00000000">
        <w:rPr>
          <w:rFonts w:ascii="Calibri" w:cs="Calibri" w:eastAsia="Calibri" w:hAnsi="Calibri"/>
          <w:b w:val="1"/>
          <w:sz w:val="21"/>
          <w:szCs w:val="21"/>
          <w:u w:val="single"/>
          <w:rtl w:val="0"/>
        </w:rPr>
        <w:t xml:space="preserve">Kids in Need Teacher Grant — </w:t>
      </w:r>
      <w:r w:rsidDel="00000000" w:rsidR="00000000" w:rsidRPr="00000000">
        <w:fldChar w:fldCharType="begin"/>
        <w:instrText xml:space="preserve"> HYPERLINK "http://www.kinf.org/grants/" </w:instrText>
        <w:fldChar w:fldCharType="separate"/>
      </w:r>
      <w:r w:rsidDel="00000000" w:rsidR="00000000" w:rsidRPr="00000000">
        <w:rPr>
          <w:rFonts w:ascii="Calibri" w:cs="Calibri" w:eastAsia="Calibri" w:hAnsi="Calibri"/>
          <w:b w:val="1"/>
          <w:color w:val="1155cc"/>
          <w:sz w:val="21"/>
          <w:szCs w:val="21"/>
          <w:u w:val="single"/>
          <w:rtl w:val="0"/>
        </w:rPr>
        <w:t xml:space="preserve">http://www.kinf.org/grants/</w:t>
      </w:r>
    </w:p>
    <w:p w:rsidR="00000000" w:rsidDel="00000000" w:rsidP="00000000" w:rsidRDefault="00000000" w:rsidRPr="00000000" w14:paraId="00000014">
      <w:pPr>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Rule="auto"/>
        <w:ind w:left="2340" w:right="680" w:hanging="360"/>
        <w:rPr>
          <w:b w:val="1"/>
        </w:rPr>
      </w:pPr>
      <w:r w:rsidDel="00000000" w:rsidR="00000000" w:rsidRPr="00000000">
        <w:fldChar w:fldCharType="end"/>
      </w:r>
      <w:r w:rsidDel="00000000" w:rsidR="00000000" w:rsidRPr="00000000">
        <w:rPr>
          <w:rFonts w:ascii="Calibri" w:cs="Calibri" w:eastAsia="Calibri" w:hAnsi="Calibri"/>
          <w:b w:val="1"/>
          <w:sz w:val="21"/>
          <w:szCs w:val="21"/>
          <w:u w:val="single"/>
          <w:rtl w:val="0"/>
        </w:rPr>
        <w:t xml:space="preserve">Awards are $100 to $500</w:t>
      </w:r>
    </w:p>
    <w:p w:rsidR="00000000" w:rsidDel="00000000" w:rsidP="00000000" w:rsidRDefault="00000000" w:rsidRPr="00000000" w14:paraId="00000015">
      <w:pPr>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Rule="auto"/>
        <w:ind w:left="2340" w:right="680" w:hanging="360"/>
        <w:rPr>
          <w:b w:val="1"/>
        </w:rPr>
      </w:pPr>
      <w:r w:rsidDel="00000000" w:rsidR="00000000" w:rsidRPr="00000000">
        <w:rPr>
          <w:rFonts w:ascii="Calibri" w:cs="Calibri" w:eastAsia="Calibri" w:hAnsi="Calibri"/>
          <w:b w:val="1"/>
          <w:sz w:val="21"/>
          <w:szCs w:val="21"/>
          <w:u w:val="single"/>
          <w:rtl w:val="0"/>
        </w:rPr>
        <w:t xml:space="preserve">Applications available July 15-Sept 30, annually</w:t>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Rule="auto"/>
        <w:ind w:left="1400" w:right="680" w:hanging="360"/>
        <w:rPr>
          <w:b w:val="1"/>
        </w:rPr>
      </w:pPr>
      <w:r w:rsidDel="00000000" w:rsidR="00000000" w:rsidRPr="00000000">
        <w:rPr>
          <w:rFonts w:ascii="Calibri" w:cs="Calibri" w:eastAsia="Calibri" w:hAnsi="Calibri"/>
          <w:b w:val="1"/>
          <w:sz w:val="21"/>
          <w:szCs w:val="21"/>
          <w:u w:val="single"/>
          <w:rtl w:val="0"/>
        </w:rPr>
        <w:t xml:space="preserve">P. Buckley Moss Foundation Teacher Art Grants —</w:t>
      </w:r>
      <w:hyperlink r:id="rId8">
        <w:r w:rsidDel="00000000" w:rsidR="00000000" w:rsidRPr="00000000">
          <w:rPr>
            <w:rFonts w:ascii="Calibri" w:cs="Calibri" w:eastAsia="Calibri" w:hAnsi="Calibri"/>
            <w:b w:val="1"/>
            <w:color w:val="1155cc"/>
            <w:sz w:val="21"/>
            <w:szCs w:val="21"/>
            <w:u w:val="single"/>
            <w:rtl w:val="0"/>
          </w:rPr>
          <w:t xml:space="preserve">http://www.mossfoundation.org/grants.html</w:t>
        </w:r>
      </w:hyperlink>
      <w:r w:rsidDel="00000000" w:rsidR="00000000" w:rsidRPr="00000000">
        <w:rPr>
          <w:rtl w:val="0"/>
        </w:rPr>
      </w:r>
    </w:p>
    <w:p w:rsidR="00000000" w:rsidDel="00000000" w:rsidP="00000000" w:rsidRDefault="00000000" w:rsidRPr="00000000" w14:paraId="00000017">
      <w:pPr>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Rule="auto"/>
        <w:ind w:left="2340" w:right="680" w:hanging="360"/>
        <w:rPr>
          <w:b w:val="1"/>
        </w:rPr>
      </w:pPr>
      <w:r w:rsidDel="00000000" w:rsidR="00000000" w:rsidRPr="00000000">
        <w:rPr>
          <w:rFonts w:ascii="Calibri" w:cs="Calibri" w:eastAsia="Calibri" w:hAnsi="Calibri"/>
          <w:b w:val="1"/>
          <w:sz w:val="21"/>
          <w:szCs w:val="21"/>
          <w:u w:val="single"/>
          <w:rtl w:val="0"/>
        </w:rPr>
        <w:t xml:space="preserve">Awards up to $1,000</w:t>
      </w:r>
    </w:p>
    <w:p w:rsidR="00000000" w:rsidDel="00000000" w:rsidP="00000000" w:rsidRDefault="00000000" w:rsidRPr="00000000" w14:paraId="00000018">
      <w:pPr>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Rule="auto"/>
        <w:ind w:left="2340" w:right="680" w:hanging="360"/>
        <w:rPr>
          <w:b w:val="1"/>
        </w:rPr>
      </w:pPr>
      <w:r w:rsidDel="00000000" w:rsidR="00000000" w:rsidRPr="00000000">
        <w:rPr>
          <w:rFonts w:ascii="Calibri" w:cs="Calibri" w:eastAsia="Calibri" w:hAnsi="Calibri"/>
          <w:b w:val="1"/>
          <w:sz w:val="21"/>
          <w:szCs w:val="21"/>
          <w:u w:val="single"/>
          <w:rtl w:val="0"/>
        </w:rPr>
        <w:t xml:space="preserve">Supports new or evolving programs that integrate the arts into educational programming. Purpose is to aid and support teachers who wish to establish an effective learning tool using the arts in teaching children who learn differently.</w:t>
      </w:r>
    </w:p>
    <w:p w:rsidR="00000000" w:rsidDel="00000000" w:rsidP="00000000" w:rsidRDefault="00000000" w:rsidRPr="00000000" w14:paraId="00000019">
      <w:pPr>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Rule="auto"/>
        <w:ind w:left="2340" w:right="680" w:hanging="360"/>
        <w:rPr>
          <w:b w:val="1"/>
        </w:rPr>
      </w:pPr>
      <w:r w:rsidDel="00000000" w:rsidR="00000000" w:rsidRPr="00000000">
        <w:rPr>
          <w:rFonts w:ascii="Calibri" w:cs="Calibri" w:eastAsia="Calibri" w:hAnsi="Calibri"/>
          <w:b w:val="1"/>
          <w:sz w:val="21"/>
          <w:szCs w:val="21"/>
          <w:u w:val="single"/>
          <w:rtl w:val="0"/>
        </w:rPr>
        <w:t xml:space="preserve">Deadline Sept. 30, 2016</w:t>
      </w:r>
    </w:p>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Rule="auto"/>
        <w:ind w:left="1400" w:right="680" w:hanging="360"/>
        <w:rPr>
          <w:b w:val="1"/>
        </w:rPr>
      </w:pPr>
      <w:r w:rsidDel="00000000" w:rsidR="00000000" w:rsidRPr="00000000">
        <w:rPr>
          <w:rFonts w:ascii="Calibri" w:cs="Calibri" w:eastAsia="Calibri" w:hAnsi="Calibri"/>
          <w:b w:val="1"/>
          <w:sz w:val="21"/>
          <w:szCs w:val="21"/>
          <w:u w:val="single"/>
          <w:rtl w:val="0"/>
        </w:rPr>
        <w:t xml:space="preserve">Association of American Educators Foundation Classroom Grant — </w:t>
      </w:r>
      <w:r w:rsidDel="00000000" w:rsidR="00000000" w:rsidRPr="00000000">
        <w:fldChar w:fldCharType="begin"/>
        <w:instrText xml:space="preserve"> HYPERLINK "http://www.aaeteachers.org/index.php/classroom-grant-application" </w:instrText>
        <w:fldChar w:fldCharType="separate"/>
      </w:r>
      <w:r w:rsidDel="00000000" w:rsidR="00000000" w:rsidRPr="00000000">
        <w:rPr>
          <w:rFonts w:ascii="Calibri" w:cs="Calibri" w:eastAsia="Calibri" w:hAnsi="Calibri"/>
          <w:b w:val="1"/>
          <w:color w:val="1155cc"/>
          <w:sz w:val="21"/>
          <w:szCs w:val="21"/>
          <w:u w:val="single"/>
          <w:rtl w:val="0"/>
        </w:rPr>
        <w:t xml:space="preserve">http://www.aaeteachers.org/index.php/classroom-grant-application</w:t>
      </w:r>
    </w:p>
    <w:p w:rsidR="00000000" w:rsidDel="00000000" w:rsidP="00000000" w:rsidRDefault="00000000" w:rsidRPr="00000000" w14:paraId="0000001B">
      <w:pPr>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Rule="auto"/>
        <w:ind w:left="2340" w:right="680" w:hanging="360"/>
        <w:rPr>
          <w:b w:val="1"/>
        </w:rPr>
      </w:pPr>
      <w:r w:rsidDel="00000000" w:rsidR="00000000" w:rsidRPr="00000000">
        <w:fldChar w:fldCharType="end"/>
      </w:r>
      <w:r w:rsidDel="00000000" w:rsidR="00000000" w:rsidRPr="00000000">
        <w:rPr>
          <w:rFonts w:ascii="Calibri" w:cs="Calibri" w:eastAsia="Calibri" w:hAnsi="Calibri"/>
          <w:b w:val="1"/>
          <w:sz w:val="21"/>
          <w:szCs w:val="21"/>
          <w:u w:val="single"/>
          <w:rtl w:val="0"/>
        </w:rPr>
        <w:t xml:space="preserve">Awards are up to $500</w:t>
      </w:r>
    </w:p>
    <w:p w:rsidR="00000000" w:rsidDel="00000000" w:rsidP="00000000" w:rsidRDefault="00000000" w:rsidRPr="00000000" w14:paraId="0000001C">
      <w:pPr>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Rule="auto"/>
        <w:ind w:left="2340" w:right="680" w:hanging="360"/>
        <w:rPr>
          <w:b w:val="1"/>
        </w:rPr>
      </w:pPr>
      <w:r w:rsidDel="00000000" w:rsidR="00000000" w:rsidRPr="00000000">
        <w:rPr>
          <w:rFonts w:ascii="Calibri" w:cs="Calibri" w:eastAsia="Calibri" w:hAnsi="Calibri"/>
          <w:b w:val="1"/>
          <w:sz w:val="21"/>
          <w:szCs w:val="21"/>
          <w:u w:val="single"/>
          <w:rtl w:val="0"/>
        </w:rPr>
        <w:t xml:space="preserve">Highly competitive</w:t>
      </w:r>
    </w:p>
    <w:p w:rsidR="00000000" w:rsidDel="00000000" w:rsidP="00000000" w:rsidRDefault="00000000" w:rsidRPr="00000000" w14:paraId="0000001D">
      <w:pPr>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Rule="auto"/>
        <w:ind w:left="2340" w:right="680" w:hanging="360"/>
        <w:rPr>
          <w:b w:val="1"/>
        </w:rPr>
      </w:pPr>
      <w:r w:rsidDel="00000000" w:rsidR="00000000" w:rsidRPr="00000000">
        <w:rPr>
          <w:rFonts w:ascii="Calibri" w:cs="Calibri" w:eastAsia="Calibri" w:hAnsi="Calibri"/>
          <w:b w:val="1"/>
          <w:sz w:val="21"/>
          <w:szCs w:val="21"/>
          <w:u w:val="single"/>
          <w:rtl w:val="0"/>
        </w:rPr>
        <w:t xml:space="preserve">Deadlines are Oct. 1 and March 1, annually</w:t>
      </w:r>
    </w:p>
    <w:p w:rsidR="00000000" w:rsidDel="00000000" w:rsidP="00000000" w:rsidRDefault="00000000" w:rsidRPr="00000000" w14:paraId="0000001E">
      <w:pPr>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Rule="auto"/>
        <w:ind w:left="1400" w:right="680" w:hanging="360"/>
        <w:rPr>
          <w:b w:val="1"/>
        </w:rPr>
      </w:pPr>
      <w:r w:rsidDel="00000000" w:rsidR="00000000" w:rsidRPr="00000000">
        <w:rPr>
          <w:rFonts w:ascii="Calibri" w:cs="Calibri" w:eastAsia="Calibri" w:hAnsi="Calibri"/>
          <w:b w:val="1"/>
          <w:sz w:val="21"/>
          <w:szCs w:val="21"/>
          <w:u w:val="single"/>
          <w:rtl w:val="0"/>
        </w:rPr>
        <w:t xml:space="preserve">McCarthy Dressman Education Foundation Academic Enrichment Grants — </w:t>
      </w:r>
      <w:r w:rsidDel="00000000" w:rsidR="00000000" w:rsidRPr="00000000">
        <w:fldChar w:fldCharType="begin"/>
        <w:instrText xml:space="preserve"> HYPERLINK "https://mccartheydressman.org/academic-enrichment-grants/" </w:instrText>
        <w:fldChar w:fldCharType="separate"/>
      </w:r>
      <w:r w:rsidDel="00000000" w:rsidR="00000000" w:rsidRPr="00000000">
        <w:rPr>
          <w:rFonts w:ascii="Calibri" w:cs="Calibri" w:eastAsia="Calibri" w:hAnsi="Calibri"/>
          <w:b w:val="1"/>
          <w:color w:val="1155cc"/>
          <w:sz w:val="21"/>
          <w:szCs w:val="21"/>
          <w:u w:val="single"/>
          <w:rtl w:val="0"/>
        </w:rPr>
        <w:t xml:space="preserve">https://mccartheydressman.org/academic-enrichment-grants/</w:t>
      </w:r>
    </w:p>
    <w:p w:rsidR="00000000" w:rsidDel="00000000" w:rsidP="00000000" w:rsidRDefault="00000000" w:rsidRPr="00000000" w14:paraId="0000001F">
      <w:pPr>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Rule="auto"/>
        <w:ind w:left="2340" w:right="680" w:hanging="360"/>
        <w:rPr>
          <w:b w:val="1"/>
        </w:rPr>
      </w:pPr>
      <w:r w:rsidDel="00000000" w:rsidR="00000000" w:rsidRPr="00000000">
        <w:fldChar w:fldCharType="end"/>
      </w:r>
      <w:r w:rsidDel="00000000" w:rsidR="00000000" w:rsidRPr="00000000">
        <w:rPr>
          <w:rFonts w:ascii="Calibri" w:cs="Calibri" w:eastAsia="Calibri" w:hAnsi="Calibri"/>
          <w:b w:val="1"/>
          <w:sz w:val="21"/>
          <w:szCs w:val="21"/>
          <w:u w:val="single"/>
          <w:rtl w:val="0"/>
        </w:rPr>
        <w:t xml:space="preserve">Awards up to $10,000 per year for up to three years ($30,000 total)</w:t>
      </w:r>
    </w:p>
    <w:p w:rsidR="00000000" w:rsidDel="00000000" w:rsidP="00000000" w:rsidRDefault="00000000" w:rsidRPr="00000000" w14:paraId="00000020">
      <w:pPr>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Rule="auto"/>
        <w:ind w:left="2340" w:right="680" w:hanging="360"/>
        <w:rPr>
          <w:b w:val="1"/>
        </w:rPr>
      </w:pPr>
      <w:r w:rsidDel="00000000" w:rsidR="00000000" w:rsidRPr="00000000">
        <w:rPr>
          <w:rFonts w:ascii="Calibri" w:cs="Calibri" w:eastAsia="Calibri" w:hAnsi="Calibri"/>
          <w:b w:val="1"/>
          <w:sz w:val="21"/>
          <w:szCs w:val="21"/>
          <w:u w:val="single"/>
          <w:rtl w:val="0"/>
        </w:rPr>
        <w:t xml:space="preserve">Funds programs that improve student learning, foster understanding, depend students’ knowledge, and provide opportunities to expand awareness of the world around them.</w:t>
      </w:r>
    </w:p>
    <w:p w:rsidR="00000000" w:rsidDel="00000000" w:rsidP="00000000" w:rsidRDefault="00000000" w:rsidRPr="00000000" w14:paraId="00000021">
      <w:pPr>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Rule="auto"/>
        <w:ind w:left="2340" w:right="680" w:hanging="360"/>
        <w:rPr>
          <w:b w:val="1"/>
        </w:rPr>
      </w:pPr>
      <w:r w:rsidDel="00000000" w:rsidR="00000000" w:rsidRPr="00000000">
        <w:rPr>
          <w:rFonts w:ascii="Calibri" w:cs="Calibri" w:eastAsia="Calibri" w:hAnsi="Calibri"/>
          <w:b w:val="1"/>
          <w:sz w:val="21"/>
          <w:szCs w:val="21"/>
          <w:u w:val="single"/>
          <w:rtl w:val="0"/>
        </w:rPr>
        <w:t xml:space="preserve">Application available Jan. 15-April 15 annually; application portal will close when maximum number of submissions is reached, so recommendation is to apply early</w:t>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Rule="auto"/>
        <w:ind w:left="1400" w:right="680" w:hanging="360"/>
        <w:rPr>
          <w:b w:val="1"/>
        </w:rPr>
      </w:pPr>
      <w:r w:rsidDel="00000000" w:rsidR="00000000" w:rsidRPr="00000000">
        <w:rPr>
          <w:rFonts w:ascii="Calibri" w:cs="Calibri" w:eastAsia="Calibri" w:hAnsi="Calibri"/>
          <w:b w:val="1"/>
          <w:sz w:val="21"/>
          <w:szCs w:val="21"/>
          <w:u w:val="single"/>
          <w:rtl w:val="0"/>
        </w:rPr>
        <w:t xml:space="preserve">The Max and Victoria Dreyfus Foundation — </w:t>
      </w:r>
      <w:r w:rsidDel="00000000" w:rsidR="00000000" w:rsidRPr="00000000">
        <w:fldChar w:fldCharType="begin"/>
        <w:instrText xml:space="preserve"> HYPERLINK "http://www.mvdreyfusfoundation.org/#!application-guidelines" </w:instrText>
        <w:fldChar w:fldCharType="separate"/>
      </w:r>
      <w:r w:rsidDel="00000000" w:rsidR="00000000" w:rsidRPr="00000000">
        <w:rPr>
          <w:rFonts w:ascii="Calibri" w:cs="Calibri" w:eastAsia="Calibri" w:hAnsi="Calibri"/>
          <w:b w:val="1"/>
          <w:color w:val="1155cc"/>
          <w:sz w:val="21"/>
          <w:szCs w:val="21"/>
          <w:u w:val="single"/>
          <w:rtl w:val="0"/>
        </w:rPr>
        <w:t xml:space="preserve">http://www.mvdreyfusfoundation.org/#!application-guidelines</w:t>
      </w:r>
    </w:p>
    <w:p w:rsidR="00000000" w:rsidDel="00000000" w:rsidP="00000000" w:rsidRDefault="00000000" w:rsidRPr="00000000" w14:paraId="00000023">
      <w:pPr>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Rule="auto"/>
        <w:ind w:left="2340" w:right="680" w:hanging="360"/>
        <w:rPr>
          <w:b w:val="1"/>
        </w:rPr>
      </w:pPr>
      <w:r w:rsidDel="00000000" w:rsidR="00000000" w:rsidRPr="00000000">
        <w:fldChar w:fldCharType="end"/>
      </w:r>
      <w:r w:rsidDel="00000000" w:rsidR="00000000" w:rsidRPr="00000000">
        <w:rPr>
          <w:rFonts w:ascii="Calibri" w:cs="Calibri" w:eastAsia="Calibri" w:hAnsi="Calibri"/>
          <w:b w:val="1"/>
          <w:sz w:val="21"/>
          <w:szCs w:val="21"/>
          <w:u w:val="single"/>
          <w:rtl w:val="0"/>
        </w:rPr>
        <w:t xml:space="preserve">Awards are $1,000-$20,000</w:t>
      </w:r>
    </w:p>
    <w:p w:rsidR="00000000" w:rsidDel="00000000" w:rsidP="00000000" w:rsidRDefault="00000000" w:rsidRPr="00000000" w14:paraId="00000024">
      <w:pPr>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Rule="auto"/>
        <w:ind w:left="2340" w:right="680" w:hanging="360"/>
        <w:rPr>
          <w:b w:val="1"/>
        </w:rPr>
      </w:pPr>
      <w:r w:rsidDel="00000000" w:rsidR="00000000" w:rsidRPr="00000000">
        <w:rPr>
          <w:rFonts w:ascii="Calibri" w:cs="Calibri" w:eastAsia="Calibri" w:hAnsi="Calibri"/>
          <w:b w:val="1"/>
          <w:sz w:val="21"/>
          <w:szCs w:val="21"/>
          <w:u w:val="single"/>
          <w:rtl w:val="0"/>
        </w:rPr>
        <w:t xml:space="preserve">Focus areas include schools and environmental/wildlife protection activities</w:t>
      </w:r>
    </w:p>
    <w:p w:rsidR="00000000" w:rsidDel="00000000" w:rsidP="00000000" w:rsidRDefault="00000000" w:rsidRPr="00000000" w14:paraId="00000025">
      <w:pPr>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Rule="auto"/>
        <w:ind w:left="2340" w:right="680" w:hanging="360"/>
        <w:rPr>
          <w:b w:val="1"/>
        </w:rPr>
      </w:pPr>
      <w:r w:rsidDel="00000000" w:rsidR="00000000" w:rsidRPr="00000000">
        <w:rPr>
          <w:rFonts w:ascii="Calibri" w:cs="Calibri" w:eastAsia="Calibri" w:hAnsi="Calibri"/>
          <w:b w:val="1"/>
          <w:sz w:val="21"/>
          <w:szCs w:val="21"/>
          <w:u w:val="single"/>
          <w:rtl w:val="0"/>
        </w:rPr>
        <w:t xml:space="preserve">Two deadlines each year: May 10 and Nov. 10</w:t>
      </w:r>
    </w:p>
    <w:p w:rsidR="00000000" w:rsidDel="00000000" w:rsidP="00000000" w:rsidRDefault="00000000" w:rsidRPr="00000000" w14:paraId="00000026">
      <w:pPr>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Rule="auto"/>
        <w:ind w:left="1400" w:right="680" w:hanging="360"/>
        <w:rPr>
          <w:b w:val="1"/>
        </w:rPr>
      </w:pPr>
      <w:r w:rsidDel="00000000" w:rsidR="00000000" w:rsidRPr="00000000">
        <w:rPr>
          <w:rFonts w:ascii="Calibri" w:cs="Calibri" w:eastAsia="Calibri" w:hAnsi="Calibri"/>
          <w:b w:val="1"/>
          <w:sz w:val="21"/>
          <w:szCs w:val="21"/>
          <w:u w:val="single"/>
          <w:rtl w:val="0"/>
        </w:rPr>
        <w:t xml:space="preserve">The Harry Chapin Foundation — </w:t>
      </w:r>
      <w:r w:rsidDel="00000000" w:rsidR="00000000" w:rsidRPr="00000000">
        <w:fldChar w:fldCharType="begin"/>
        <w:instrText xml:space="preserve"> HYPERLINK "http://www.harrychapinfoundation.org/focus_focusandguidelines.php" </w:instrText>
        <w:fldChar w:fldCharType="separate"/>
      </w:r>
      <w:r w:rsidDel="00000000" w:rsidR="00000000" w:rsidRPr="00000000">
        <w:rPr>
          <w:rFonts w:ascii="Calibri" w:cs="Calibri" w:eastAsia="Calibri" w:hAnsi="Calibri"/>
          <w:b w:val="1"/>
          <w:color w:val="1155cc"/>
          <w:sz w:val="21"/>
          <w:szCs w:val="21"/>
          <w:u w:val="single"/>
          <w:rtl w:val="0"/>
        </w:rPr>
        <w:t xml:space="preserve">http://www.harrychapinfoundation.org/focus_focusandguidelines.php</w:t>
      </w:r>
    </w:p>
    <w:p w:rsidR="00000000" w:rsidDel="00000000" w:rsidP="00000000" w:rsidRDefault="00000000" w:rsidRPr="00000000" w14:paraId="00000027">
      <w:pPr>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Rule="auto"/>
        <w:ind w:left="2340" w:right="680" w:hanging="360"/>
        <w:rPr>
          <w:b w:val="1"/>
        </w:rPr>
      </w:pPr>
      <w:r w:rsidDel="00000000" w:rsidR="00000000" w:rsidRPr="00000000">
        <w:fldChar w:fldCharType="end"/>
      </w:r>
      <w:r w:rsidDel="00000000" w:rsidR="00000000" w:rsidRPr="00000000">
        <w:rPr>
          <w:rFonts w:ascii="Calibri" w:cs="Calibri" w:eastAsia="Calibri" w:hAnsi="Calibri"/>
          <w:b w:val="1"/>
          <w:sz w:val="21"/>
          <w:szCs w:val="21"/>
          <w:u w:val="single"/>
          <w:rtl w:val="0"/>
        </w:rPr>
        <w:t xml:space="preserve">Awards are up to $10,000</w:t>
      </w:r>
    </w:p>
    <w:p w:rsidR="00000000" w:rsidDel="00000000" w:rsidP="00000000" w:rsidRDefault="00000000" w:rsidRPr="00000000" w14:paraId="00000028">
      <w:pPr>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Rule="auto"/>
        <w:ind w:left="2340" w:right="680" w:hanging="360"/>
        <w:rPr>
          <w:b w:val="1"/>
        </w:rPr>
      </w:pPr>
      <w:r w:rsidDel="00000000" w:rsidR="00000000" w:rsidRPr="00000000">
        <w:rPr>
          <w:rFonts w:ascii="Calibri" w:cs="Calibri" w:eastAsia="Calibri" w:hAnsi="Calibri"/>
          <w:b w:val="1"/>
          <w:sz w:val="21"/>
          <w:szCs w:val="21"/>
          <w:u w:val="single"/>
          <w:rtl w:val="0"/>
        </w:rPr>
        <w:t xml:space="preserve">Focus areas include community education, arts in education, and agricultural/environmental programs</w:t>
      </w:r>
    </w:p>
    <w:p w:rsidR="00000000" w:rsidDel="00000000" w:rsidP="00000000" w:rsidRDefault="00000000" w:rsidRPr="00000000" w14:paraId="00000029">
      <w:pPr>
        <w:numPr>
          <w:ilvl w:val="1"/>
          <w:numId w:val="1"/>
        </w:numPr>
        <w:pBdr>
          <w:top w:space="0" w:sz="0" w:val="nil"/>
          <w:left w:space="0" w:sz="0" w:val="nil"/>
          <w:bottom w:space="0" w:sz="0" w:val="nil"/>
          <w:right w:space="0" w:sz="0" w:val="nil"/>
          <w:between w:space="0" w:sz="0" w:val="nil"/>
        </w:pBdr>
        <w:shd w:fill="auto" w:val="clear"/>
        <w:spacing w:before="0" w:beforeAutospacing="0" w:lineRule="auto"/>
        <w:ind w:left="2340" w:right="680" w:hanging="360"/>
        <w:rPr>
          <w:b w:val="1"/>
        </w:rPr>
      </w:pPr>
      <w:r w:rsidDel="00000000" w:rsidR="00000000" w:rsidRPr="00000000">
        <w:rPr>
          <w:rFonts w:ascii="Calibri" w:cs="Calibri" w:eastAsia="Calibri" w:hAnsi="Calibri"/>
          <w:b w:val="1"/>
          <w:sz w:val="21"/>
          <w:szCs w:val="21"/>
          <w:u w:val="single"/>
          <w:rtl w:val="0"/>
        </w:rPr>
        <w:t xml:space="preserve">Rolling deadline; board meets three times a year on an as-needed basis to review applications</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before="80" w:lineRule="auto"/>
        <w:ind w:left="460" w:right="680" w:firstLine="0"/>
        <w:rPr>
          <w:rFonts w:ascii="Calibri" w:cs="Calibri" w:eastAsia="Calibri" w:hAnsi="Calibri"/>
          <w:b w:val="1"/>
          <w:sz w:val="21"/>
          <w:szCs w:val="21"/>
          <w:u w:val="single"/>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before="80" w:lineRule="auto"/>
        <w:ind w:left="460" w:right="680" w:firstLine="0"/>
        <w:rPr>
          <w:rFonts w:ascii="Calibri" w:cs="Calibri" w:eastAsia="Calibri" w:hAnsi="Calibri"/>
          <w:b w:val="1"/>
          <w:sz w:val="21"/>
          <w:szCs w:val="21"/>
          <w:u w:val="single"/>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before="80" w:lineRule="auto"/>
        <w:ind w:left="0" w:right="680" w:firstLine="0"/>
        <w:rPr>
          <w:rFonts w:ascii="Calibri" w:cs="Calibri" w:eastAsia="Calibri" w:hAnsi="Calibri"/>
          <w:b w:val="1"/>
          <w:sz w:val="21"/>
          <w:szCs w:val="21"/>
          <w:u w:val="single"/>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before="80" w:lineRule="auto"/>
        <w:ind w:left="0" w:right="680" w:firstLine="0"/>
        <w:rPr>
          <w:rFonts w:ascii="Calibri" w:cs="Calibri" w:eastAsia="Calibri" w:hAnsi="Calibri"/>
          <w:b w:val="1"/>
          <w:sz w:val="21"/>
          <w:szCs w:val="21"/>
          <w:u w:val="single"/>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before="80" w:lineRule="auto"/>
        <w:ind w:left="460" w:right="680" w:firstLine="0"/>
        <w:rPr>
          <w:rFonts w:ascii="Calibri" w:cs="Calibri" w:eastAsia="Calibri" w:hAnsi="Calibri"/>
          <w:b w:val="1"/>
          <w:color w:val="1155cc"/>
          <w:sz w:val="21"/>
          <w:szCs w:val="21"/>
          <w:u w:val="single"/>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before="80" w:lineRule="auto"/>
        <w:ind w:left="0" w:right="680" w:firstLine="0"/>
        <w:rPr>
          <w:rFonts w:ascii="Calibri" w:cs="Calibri" w:eastAsia="Calibri" w:hAnsi="Calibri"/>
          <w:b w:val="1"/>
          <w:color w:val="1155cc"/>
          <w:sz w:val="21"/>
          <w:szCs w:val="21"/>
          <w:u w:val="single"/>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before="80" w:lineRule="auto"/>
        <w:ind w:left="460" w:right="680" w:firstLine="0"/>
        <w:rPr>
          <w:rFonts w:ascii="Calibri" w:cs="Calibri" w:eastAsia="Calibri" w:hAnsi="Calibri"/>
          <w:b w:val="1"/>
          <w:sz w:val="21"/>
          <w:szCs w:val="21"/>
          <w:u w:val="single"/>
        </w:rPr>
      </w:pPr>
      <w:r w:rsidDel="00000000" w:rsidR="00000000" w:rsidRPr="00000000">
        <w:pict>
          <v:rect style="width:0.0pt;height:1.5pt" o:hr="t" o:hrstd="t" o:hralign="center" fillcolor="#A0A0A0" stroked="f"/>
        </w:pict>
      </w:r>
      <w:r w:rsidDel="00000000" w:rsidR="00000000" w:rsidRPr="00000000">
        <w:rPr>
          <w:rFonts w:ascii="Calibri" w:cs="Calibri" w:eastAsia="Calibri" w:hAnsi="Calibri"/>
          <w:b w:val="1"/>
          <w:sz w:val="21"/>
          <w:szCs w:val="21"/>
          <w:u w:val="single"/>
          <w:rtl w:val="0"/>
        </w:rPr>
        <w:t xml:space="preserve">This email and any files transmitted with it are confidential and intended solely for the use of the individual or entity to whom they are addressed. This message contains confidential information and is intended only for the individual named. If you are not the named addressee you should not disseminate, distribute or copy this e-mail. Please notify the sender immediately by e-mail if you have received this e-mail by mistake and delete this e-mail from your system. If you are not the intended recipient you are notified that disclosing, copying, distributing or taking any action in reliance on the contents of this information is strictly prohibited.</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before="120" w:line="113.68421052631578" w:lineRule="auto"/>
        <w:ind w:left="460" w:right="680" w:firstLine="0"/>
        <w:rPr>
          <w:rFonts w:ascii="Calibri" w:cs="Calibri" w:eastAsia="Calibri" w:hAnsi="Calibri"/>
          <w:b w:val="1"/>
          <w:sz w:val="21"/>
          <w:szCs w:val="21"/>
          <w:u w:val="single"/>
        </w:rPr>
      </w:pPr>
      <w:r w:rsidDel="00000000" w:rsidR="00000000" w:rsidRPr="00000000">
        <w:rPr>
          <w:rFonts w:ascii="Calibri" w:cs="Calibri" w:eastAsia="Calibri" w:hAnsi="Calibri"/>
          <w:b w:val="1"/>
          <w:sz w:val="21"/>
          <w:szCs w:val="21"/>
          <w:u w:val="single"/>
        </w:rPr>
        <w:drawing>
          <wp:inline distB="114300" distT="114300" distL="114300" distR="114300">
            <wp:extent cx="190500" cy="76200"/>
            <wp:effectExtent b="0" l="0" r="0" t="0"/>
            <wp:docPr id="5" name="image4.gif"/>
            <a:graphic>
              <a:graphicData uri="http://schemas.openxmlformats.org/drawingml/2006/picture">
                <pic:pic>
                  <pic:nvPicPr>
                    <pic:cNvPr id="0" name="image4.gif"/>
                    <pic:cNvPicPr preferRelativeResize="0"/>
                  </pic:nvPicPr>
                  <pic:blipFill>
                    <a:blip r:embed="rId9"/>
                    <a:srcRect b="0" l="0" r="0" t="0"/>
                    <a:stretch>
                      <a:fillRect/>
                    </a:stretch>
                  </pic:blipFill>
                  <pic:spPr>
                    <a:xfrm>
                      <a:off x="0" y="0"/>
                      <a:ext cx="190500" cy="76200"/>
                    </a:xfrm>
                    <a:prstGeom prst="rect"/>
                    <a:ln/>
                  </pic:spPr>
                </pic:pic>
              </a:graphicData>
            </a:graphic>
          </wp:inline>
        </w:drawing>
      </w:r>
      <w:r w:rsidDel="00000000" w:rsidR="00000000" w:rsidRPr="00000000">
        <w:rPr>
          <w:rtl w:val="0"/>
        </w:rPr>
      </w:r>
    </w:p>
    <w:tbl>
      <w:tblPr>
        <w:tblStyle w:val="Table1"/>
        <w:tblW w:w="7395.0" w:type="dxa"/>
        <w:jc w:val="left"/>
        <w:tblInd w:w="20.0" w:type="pct"/>
        <w:tblLayout w:type="fixed"/>
        <w:tblLook w:val="0600"/>
      </w:tblPr>
      <w:tblGrid>
        <w:gridCol w:w="765"/>
        <w:gridCol w:w="6630"/>
        <w:tblGridChange w:id="0">
          <w:tblGrid>
            <w:gridCol w:w="765"/>
            <w:gridCol w:w="6630"/>
          </w:tblGrid>
        </w:tblGridChange>
      </w:tblGrid>
      <w:tr>
        <w:tc>
          <w:tcPr>
            <w:shd w:fill="auto" w:val="clear"/>
            <w:tcMar>
              <w:top w:w="0.0" w:type="dxa"/>
              <w:left w:w="20.0" w:type="dxa"/>
              <w:bottom w:w="20.0" w:type="dxa"/>
              <w:right w:w="120.0" w:type="dxa"/>
            </w:tcMar>
            <w:vAlign w:val="top"/>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ind w:right="540"/>
              <w:rPr>
                <w:b w:val="1"/>
                <w:color w:val="222222"/>
                <w:sz w:val="19"/>
                <w:szCs w:val="19"/>
                <w:u w:val="single"/>
              </w:rPr>
            </w:pPr>
            <w:r w:rsidDel="00000000" w:rsidR="00000000" w:rsidRPr="00000000">
              <w:rPr>
                <w:rFonts w:ascii="Calibri" w:cs="Calibri" w:eastAsia="Calibri" w:hAnsi="Calibri"/>
                <w:b w:val="1"/>
                <w:sz w:val="21"/>
                <w:szCs w:val="21"/>
                <w:u w:val="single"/>
              </w:rPr>
              <w:drawing>
                <wp:inline distB="114300" distT="114300" distL="114300" distR="114300">
                  <wp:extent cx="228600" cy="228600"/>
                  <wp:effectExtent b="0" l="0" r="0" t="0"/>
                  <wp:docPr id="2" name="image3.jpg"/>
                  <a:graphic>
                    <a:graphicData uri="http://schemas.openxmlformats.org/drawingml/2006/picture">
                      <pic:pic>
                        <pic:nvPicPr>
                          <pic:cNvPr id="0" name="image3.jpg"/>
                          <pic:cNvPicPr preferRelativeResize="0"/>
                        </pic:nvPicPr>
                        <pic:blipFill>
                          <a:blip r:embed="rId10"/>
                          <a:srcRect b="0" l="0" r="0" t="0"/>
                          <a:stretch>
                            <a:fillRect/>
                          </a:stretch>
                        </pic:blipFill>
                        <pic:spPr>
                          <a:xfrm>
                            <a:off x="0" y="0"/>
                            <a:ext cx="228600" cy="228600"/>
                          </a:xfrm>
                          <a:prstGeom prst="rect"/>
                          <a:ln/>
                        </pic:spPr>
                      </pic:pic>
                    </a:graphicData>
                  </a:graphic>
                </wp:inline>
              </w:drawing>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ind w:right="540"/>
              <w:rPr>
                <w:b w:val="1"/>
                <w:color w:val="999999"/>
                <w:sz w:val="19"/>
                <w:szCs w:val="19"/>
                <w:highlight w:val="white"/>
                <w:u w:val="single"/>
              </w:rPr>
            </w:pPr>
            <w:r w:rsidDel="00000000" w:rsidR="00000000" w:rsidRPr="00000000">
              <w:rPr>
                <w:b w:val="1"/>
                <w:color w:val="999999"/>
                <w:sz w:val="19"/>
                <w:szCs w:val="19"/>
                <w:highlight w:val="white"/>
                <w:u w:val="single"/>
                <w:rtl w:val="0"/>
              </w:rPr>
              <w:t xml:space="preserve">Click here to Reply or Forward</w:t>
            </w:r>
          </w:p>
        </w:tc>
      </w:tr>
    </w:tbl>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before="0" w:lineRule="auto"/>
        <w:ind w:right="460"/>
        <w:rPr>
          <w:b w:val="1"/>
          <w:color w:val="222222"/>
          <w:sz w:val="17"/>
          <w:szCs w:val="17"/>
          <w:u w:val="single"/>
        </w:rPr>
      </w:pPr>
      <w:r w:rsidDel="00000000" w:rsidR="00000000" w:rsidRPr="00000000">
        <w:rPr>
          <w:b w:val="1"/>
          <w:color w:val="222222"/>
          <w:sz w:val="17"/>
          <w:szCs w:val="17"/>
          <w:u w:val="single"/>
          <w:rtl w:val="0"/>
        </w:rPr>
        <w:t xml:space="preserve">1.74 GB (11%) of 15 GB used</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before="0" w:lineRule="auto"/>
        <w:ind w:right="460"/>
        <w:rPr>
          <w:color w:val="222222"/>
          <w:sz w:val="17"/>
          <w:szCs w:val="17"/>
          <w:u w:val="single"/>
        </w:rPr>
      </w:pPr>
      <w:r w:rsidDel="00000000" w:rsidR="00000000" w:rsidRPr="00000000">
        <w:fldChar w:fldCharType="begin"/>
        <w:instrText xml:space="preserve"> HYPERLINK "https://www.google.com/settings/u/0/storage?hl=en" </w:instrText>
        <w:fldChar w:fldCharType="separate"/>
      </w:r>
      <w:r w:rsidDel="00000000" w:rsidR="00000000" w:rsidRPr="00000000">
        <w:rPr>
          <w:color w:val="222222"/>
          <w:sz w:val="17"/>
          <w:szCs w:val="17"/>
          <w:u w:val="single"/>
          <w:rtl w:val="0"/>
        </w:rPr>
        <w:t xml:space="preserve">Manage</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before="0" w:lineRule="auto"/>
        <w:ind w:right="460"/>
        <w:jc w:val="center"/>
        <w:rPr>
          <w:b w:val="1"/>
          <w:color w:val="222222"/>
          <w:sz w:val="17"/>
          <w:szCs w:val="17"/>
          <w:u w:val="single"/>
        </w:rPr>
      </w:pPr>
      <w:r w:rsidDel="00000000" w:rsidR="00000000" w:rsidRPr="00000000">
        <w:fldChar w:fldCharType="end"/>
      </w:r>
      <w:hyperlink r:id="rId11">
        <w:r w:rsidDel="00000000" w:rsidR="00000000" w:rsidRPr="00000000">
          <w:rPr>
            <w:color w:val="222222"/>
            <w:sz w:val="17"/>
            <w:szCs w:val="17"/>
            <w:u w:val="single"/>
            <w:rtl w:val="0"/>
          </w:rPr>
          <w:t xml:space="preserve">Terms</w:t>
        </w:r>
      </w:hyperlink>
      <w:r w:rsidDel="00000000" w:rsidR="00000000" w:rsidRPr="00000000">
        <w:rPr>
          <w:b w:val="1"/>
          <w:color w:val="222222"/>
          <w:sz w:val="17"/>
          <w:szCs w:val="17"/>
          <w:u w:val="single"/>
          <w:rtl w:val="0"/>
        </w:rPr>
        <w:t xml:space="preserve"> - </w:t>
      </w:r>
      <w:r w:rsidDel="00000000" w:rsidR="00000000" w:rsidRPr="00000000">
        <w:fldChar w:fldCharType="begin"/>
        <w:instrText xml:space="preserve"> HYPERLINK "https://www.google.com/intl/en/policies/privacy/" </w:instrText>
        <w:fldChar w:fldCharType="separate"/>
      </w:r>
      <w:r w:rsidDel="00000000" w:rsidR="00000000" w:rsidRPr="00000000">
        <w:rPr>
          <w:b w:val="1"/>
          <w:color w:val="222222"/>
          <w:sz w:val="17"/>
          <w:szCs w:val="17"/>
          <w:u w:val="single"/>
          <w:rtl w:val="0"/>
        </w:rPr>
        <w:t xml:space="preserve">Privacy</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before="0" w:lineRule="auto"/>
        <w:ind w:right="460"/>
        <w:jc w:val="right"/>
        <w:rPr>
          <w:b w:val="1"/>
          <w:color w:val="222222"/>
          <w:sz w:val="17"/>
          <w:szCs w:val="17"/>
          <w:u w:val="single"/>
        </w:rPr>
      </w:pPr>
      <w:r w:rsidDel="00000000" w:rsidR="00000000" w:rsidRPr="00000000">
        <w:fldChar w:fldCharType="end"/>
      </w:r>
      <w:r w:rsidDel="00000000" w:rsidR="00000000" w:rsidRPr="00000000">
        <w:rPr>
          <w:b w:val="1"/>
          <w:color w:val="222222"/>
          <w:sz w:val="17"/>
          <w:szCs w:val="17"/>
          <w:u w:val="single"/>
          <w:rtl w:val="0"/>
        </w:rPr>
        <w:t xml:space="preserve">Last account activity: 53 minutes ago</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before="0" w:lineRule="auto"/>
        <w:ind w:right="460"/>
        <w:jc w:val="right"/>
        <w:rPr>
          <w:b w:val="1"/>
          <w:color w:val="222222"/>
          <w:sz w:val="17"/>
          <w:szCs w:val="17"/>
          <w:u w:val="single"/>
        </w:rPr>
      </w:pPr>
      <w:r w:rsidDel="00000000" w:rsidR="00000000" w:rsidRPr="00000000">
        <w:rPr>
          <w:b w:val="1"/>
          <w:color w:val="222222"/>
          <w:sz w:val="17"/>
          <w:szCs w:val="17"/>
          <w:u w:val="single"/>
          <w:rtl w:val="0"/>
        </w:rPr>
        <w:t xml:space="preserve">Details</w:t>
      </w:r>
    </w:p>
    <w:tbl>
      <w:tblPr>
        <w:tblStyle w:val="Table2"/>
        <w:tblW w:w="3420.0" w:type="dxa"/>
        <w:jc w:val="left"/>
        <w:tblInd w:w="0.0" w:type="pct"/>
        <w:tblLayout w:type="fixed"/>
        <w:tblLook w:val="0600"/>
      </w:tblPr>
      <w:tblGrid>
        <w:gridCol w:w="1180"/>
        <w:gridCol w:w="2240"/>
        <w:tblGridChange w:id="0">
          <w:tblGrid>
            <w:gridCol w:w="1180"/>
            <w:gridCol w:w="2240"/>
          </w:tblGrid>
        </w:tblGridChange>
      </w:tblGrid>
      <w:tr>
        <w:tc>
          <w:tcPr>
            <w:vMerge w:val="restart"/>
            <w:shd w:fill="auto" w:val="clear"/>
            <w:tcMar>
              <w:top w:w="100.0" w:type="dxa"/>
              <w:left w:w="0.0" w:type="dxa"/>
              <w:bottom w:w="100.0" w:type="dxa"/>
              <w:right w:w="100.0" w:type="dxa"/>
            </w:tcMar>
            <w:vAlign w:val="top"/>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b w:val="1"/>
                <w:color w:val="222222"/>
                <w:sz w:val="17"/>
                <w:szCs w:val="17"/>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b w:val="1"/>
                <w:color w:val="222222"/>
                <w:sz w:val="36"/>
                <w:szCs w:val="36"/>
                <w:u w:val="single"/>
              </w:rPr>
            </w:pPr>
            <w:r w:rsidDel="00000000" w:rsidR="00000000" w:rsidRPr="00000000">
              <w:rPr>
                <w:rtl w:val="0"/>
              </w:rPr>
            </w:r>
          </w:p>
        </w:tc>
      </w:tr>
      <w:t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b w:val="1"/>
                <w:color w:val="222222"/>
                <w:sz w:val="36"/>
                <w:szCs w:val="36"/>
                <w:u w:val="single"/>
              </w:rPr>
            </w:pPr>
            <w:r w:rsidDel="00000000" w:rsidR="00000000" w:rsidRPr="00000000">
              <w:rPr>
                <w:rtl w:val="0"/>
              </w:rPr>
            </w:r>
          </w:p>
        </w:tc>
        <w:tc>
          <w:tcPr>
            <w:shd w:fill="auto" w:val="clear"/>
            <w:tcMar>
              <w:top w:w="80.0" w:type="dxa"/>
              <w:left w:w="100.0" w:type="dxa"/>
              <w:bottom w:w="40.0" w:type="dxa"/>
              <w:right w:w="100.0" w:type="dxa"/>
            </w:tcMar>
            <w:vAlign w:val="top"/>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jc w:val="left"/>
              <w:rPr>
                <w:b w:val="1"/>
                <w:color w:val="ffffff"/>
                <w:sz w:val="17"/>
                <w:szCs w:val="17"/>
                <w:u w:val="single"/>
                <w:shd w:fill="3d9400" w:val="clear"/>
              </w:rPr>
            </w:pPr>
            <w:r w:rsidDel="00000000" w:rsidR="00000000" w:rsidRPr="00000000">
              <w:rPr>
                <w:rtl w:val="0"/>
              </w:rPr>
            </w:r>
          </w:p>
        </w:tc>
      </w:tr>
      <w:t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b w:val="1"/>
                <w:color w:val="222222"/>
                <w:sz w:val="36"/>
                <w:szCs w:val="3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378" w:lineRule="auto"/>
              <w:ind w:right="20"/>
              <w:jc w:val="center"/>
              <w:rPr>
                <w:b w:val="1"/>
                <w:color w:val="222222"/>
                <w:sz w:val="36"/>
                <w:szCs w:val="36"/>
                <w:u w:val="single"/>
              </w:rPr>
            </w:pPr>
            <w:r w:rsidDel="00000000" w:rsidR="00000000" w:rsidRPr="00000000">
              <w:rPr>
                <w:b w:val="1"/>
                <w:color w:val="222222"/>
                <w:sz w:val="36"/>
                <w:szCs w:val="36"/>
                <w:u w:val="single"/>
              </w:rPr>
              <w:drawing>
                <wp:inline distB="114300" distT="114300" distL="114300" distR="114300">
                  <wp:extent cx="203200" cy="203200"/>
                  <wp:effectExtent b="0" l="0" r="0" t="0"/>
                  <wp:docPr id="6" name="image2.gif"/>
                  <a:graphic>
                    <a:graphicData uri="http://schemas.openxmlformats.org/drawingml/2006/picture">
                      <pic:pic>
                        <pic:nvPicPr>
                          <pic:cNvPr id="0" name="image2.gif"/>
                          <pic:cNvPicPr preferRelativeResize="0"/>
                        </pic:nvPicPr>
                        <pic:blipFill>
                          <a:blip r:embed="rId12"/>
                          <a:srcRect b="0" l="0" r="0" t="0"/>
                          <a:stretch>
                            <a:fillRect/>
                          </a:stretch>
                        </pic:blipFill>
                        <pic:spPr>
                          <a:xfrm>
                            <a:off x="0" y="0"/>
                            <a:ext cx="203200" cy="203200"/>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378" w:lineRule="auto"/>
              <w:ind w:right="20"/>
              <w:jc w:val="center"/>
              <w:rPr>
                <w:b w:val="1"/>
                <w:color w:val="222222"/>
                <w:sz w:val="36"/>
                <w:szCs w:val="36"/>
                <w:u w:val="single"/>
              </w:rPr>
            </w:pPr>
            <w:r w:rsidDel="00000000" w:rsidR="00000000" w:rsidRPr="00000000">
              <w:rPr>
                <w:b w:val="1"/>
                <w:color w:val="222222"/>
                <w:sz w:val="36"/>
                <w:szCs w:val="36"/>
                <w:u w:val="single"/>
              </w:rPr>
              <w:drawing>
                <wp:inline distB="114300" distT="114300" distL="114300" distR="114300">
                  <wp:extent cx="203200" cy="203200"/>
                  <wp:effectExtent b="0" l="0" r="0" t="0"/>
                  <wp:docPr id="1" name="image5.gif"/>
                  <a:graphic>
                    <a:graphicData uri="http://schemas.openxmlformats.org/drawingml/2006/picture">
                      <pic:pic>
                        <pic:nvPicPr>
                          <pic:cNvPr id="0" name="image5.gif"/>
                          <pic:cNvPicPr preferRelativeResize="0"/>
                        </pic:nvPicPr>
                        <pic:blipFill>
                          <a:blip r:embed="rId13"/>
                          <a:srcRect b="0" l="0" r="0" t="0"/>
                          <a:stretch>
                            <a:fillRect/>
                          </a:stretch>
                        </pic:blipFill>
                        <pic:spPr>
                          <a:xfrm>
                            <a:off x="0" y="0"/>
                            <a:ext cx="203200" cy="203200"/>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378" w:lineRule="auto"/>
              <w:ind w:right="20"/>
              <w:jc w:val="center"/>
              <w:rPr>
                <w:b w:val="1"/>
                <w:color w:val="222222"/>
                <w:sz w:val="36"/>
                <w:szCs w:val="36"/>
                <w:u w:val="single"/>
              </w:rPr>
            </w:pPr>
            <w:r w:rsidDel="00000000" w:rsidR="00000000" w:rsidRPr="00000000">
              <w:rPr>
                <w:b w:val="1"/>
                <w:color w:val="222222"/>
                <w:sz w:val="36"/>
                <w:szCs w:val="36"/>
                <w:u w:val="single"/>
              </w:rPr>
              <w:drawing>
                <wp:inline distB="114300" distT="114300" distL="114300" distR="114300">
                  <wp:extent cx="203200" cy="203200"/>
                  <wp:effectExtent b="0" l="0" r="0" t="0"/>
                  <wp:docPr id="3" name="image1.gif"/>
                  <a:graphic>
                    <a:graphicData uri="http://schemas.openxmlformats.org/drawingml/2006/picture">
                      <pic:pic>
                        <pic:nvPicPr>
                          <pic:cNvPr id="0" name="image1.gif"/>
                          <pic:cNvPicPr preferRelativeResize="0"/>
                        </pic:nvPicPr>
                        <pic:blipFill>
                          <a:blip r:embed="rId14"/>
                          <a:srcRect b="0" l="0" r="0" t="0"/>
                          <a:stretch>
                            <a:fillRect/>
                          </a:stretch>
                        </pic:blipFill>
                        <pic:spPr>
                          <a:xfrm>
                            <a:off x="0" y="0"/>
                            <a:ext cx="203200" cy="203200"/>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378" w:lineRule="auto"/>
              <w:ind w:right="20"/>
              <w:jc w:val="center"/>
              <w:rPr>
                <w:b w:val="1"/>
                <w:color w:val="222222"/>
                <w:sz w:val="36"/>
                <w:szCs w:val="36"/>
                <w:u w:val="single"/>
              </w:rPr>
            </w:pPr>
            <w:r w:rsidDel="00000000" w:rsidR="00000000" w:rsidRPr="00000000">
              <w:rPr>
                <w:b w:val="1"/>
                <w:color w:val="222222"/>
                <w:sz w:val="36"/>
                <w:szCs w:val="36"/>
                <w:u w:val="single"/>
              </w:rPr>
              <w:drawing>
                <wp:inline distB="114300" distT="114300" distL="114300" distR="114300">
                  <wp:extent cx="203200" cy="203200"/>
                  <wp:effectExtent b="0" l="0" r="0" t="0"/>
                  <wp:docPr id="4" name="image6.gif"/>
                  <a:graphic>
                    <a:graphicData uri="http://schemas.openxmlformats.org/drawingml/2006/picture">
                      <pic:pic>
                        <pic:nvPicPr>
                          <pic:cNvPr id="0" name="image6.gif"/>
                          <pic:cNvPicPr preferRelativeResize="0"/>
                        </pic:nvPicPr>
                        <pic:blipFill>
                          <a:blip r:embed="rId15"/>
                          <a:srcRect b="0" l="0" r="0" t="0"/>
                          <a:stretch>
                            <a:fillRect/>
                          </a:stretch>
                        </pic:blipFill>
                        <pic:spPr>
                          <a:xfrm>
                            <a:off x="0" y="0"/>
                            <a:ext cx="203200" cy="2032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jc w:val="center"/>
        <w:rPr>
          <w:b w:val="1"/>
          <w:color w:val="1155cc"/>
          <w:sz w:val="17"/>
          <w:szCs w:val="17"/>
          <w:u w:val="single"/>
        </w:rPr>
      </w:pPr>
      <w:r w:rsidDel="00000000" w:rsidR="00000000" w:rsidRPr="00000000">
        <w:rPr>
          <w:b w:val="1"/>
          <w:color w:val="1155cc"/>
          <w:sz w:val="17"/>
          <w:szCs w:val="17"/>
          <w:u w:val="single"/>
          <w:rtl w:val="0"/>
        </w:rPr>
        <w:t xml:space="preserve">Show details</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b w:val="1"/>
          <w:sz w:val="36"/>
          <w:szCs w:val="36"/>
          <w:u w:val="single"/>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color w:val="000000"/>
        <w:sz w:val="21"/>
        <w:szCs w:val="21"/>
        <w:u w:val="none"/>
      </w:rPr>
    </w:lvl>
    <w:lvl w:ilvl="1">
      <w:start w:val="1"/>
      <w:numFmt w:val="bullet"/>
      <w:lvlText w:val="○"/>
      <w:lvlJc w:val="left"/>
      <w:pPr>
        <w:ind w:left="1440" w:hanging="360"/>
      </w:pPr>
      <w:rPr>
        <w:rFonts w:ascii="Calibri" w:cs="Calibri" w:eastAsia="Calibri" w:hAnsi="Calibri"/>
        <w:color w:val="000000"/>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Calibri" w:cs="Calibri" w:eastAsia="Calibri" w:hAnsi="Calibri"/>
        <w:color w:val="000000"/>
        <w:sz w:val="21"/>
        <w:szCs w:val="21"/>
        <w:u w:val="none"/>
      </w:rPr>
    </w:lvl>
    <w:lvl w:ilvl="1">
      <w:start w:val="1"/>
      <w:numFmt w:val="bullet"/>
      <w:lvlText w:val="○"/>
      <w:lvlJc w:val="left"/>
      <w:pPr>
        <w:ind w:left="1440" w:hanging="360"/>
      </w:pPr>
      <w:rPr>
        <w:rFonts w:ascii="Calibri" w:cs="Calibri" w:eastAsia="Calibri" w:hAnsi="Calibri"/>
        <w:color w:val="000000"/>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google.com/intl/en/policies/terms/" TargetMode="External"/><Relationship Id="rId10" Type="http://schemas.openxmlformats.org/officeDocument/2006/relationships/image" Target="media/image3.jpg"/><Relationship Id="rId13" Type="http://schemas.openxmlformats.org/officeDocument/2006/relationships/image" Target="media/image5.gif"/><Relationship Id="rId12" Type="http://schemas.openxmlformats.org/officeDocument/2006/relationships/image" Target="media/image2.gif"/><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gif"/><Relationship Id="rId15" Type="http://schemas.openxmlformats.org/officeDocument/2006/relationships/image" Target="media/image6.gif"/><Relationship Id="rId14" Type="http://schemas.openxmlformats.org/officeDocument/2006/relationships/image" Target="media/image1.gif"/><Relationship Id="rId5" Type="http://schemas.openxmlformats.org/officeDocument/2006/relationships/styles" Target="styles.xml"/><Relationship Id="rId6" Type="http://schemas.openxmlformats.org/officeDocument/2006/relationships/hyperlink" Target="http://www.verizon.com/about/responsibility/verizon-foundation" TargetMode="External"/><Relationship Id="rId7" Type="http://schemas.openxmlformats.org/officeDocument/2006/relationships/hyperlink" Target="http://www.stewartsshops.com/contributions/" TargetMode="External"/><Relationship Id="rId8" Type="http://schemas.openxmlformats.org/officeDocument/2006/relationships/hyperlink" Target="http://www.mossfoundation.org/gra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